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2">
      <w:pPr>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CORTE INTERNACIONAL DE JUSTICIA (CIJ)</w:t>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MEMORIAL</w:t>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República de El Salvador</w:t>
      </w:r>
    </w:p>
    <w:p w:rsidR="00000000" w:rsidDel="00000000" w:rsidP="00000000" w:rsidRDefault="00000000" w:rsidRPr="00000000" w14:paraId="00000007">
      <w:pPr>
        <w:spacing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Caso N</w:t>
      </w:r>
      <w:r w:rsidDel="00000000" w:rsidR="00000000" w:rsidRPr="00000000">
        <w:rPr>
          <w:rFonts w:ascii="Times New Roman" w:cs="Times New Roman" w:eastAsia="Times New Roman" w:hAnsi="Times New Roman"/>
          <w:b w:val="1"/>
          <w:bCs w:val="1"/>
          <w:sz w:val="24"/>
          <w:szCs w:val="24"/>
          <w:rtl w:val="0"/>
        </w:rPr>
        <w:t xml:space="preserve">° 1</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Objeto de Litigio: </w:t>
      </w:r>
      <w:r w:rsidDel="00000000" w:rsidR="00000000" w:rsidRPr="00000000">
        <w:rPr>
          <w:rFonts w:ascii="Times New Roman" w:cs="Times New Roman" w:eastAsia="Times New Roman" w:hAnsi="Times New Roman"/>
          <w:sz w:val="24"/>
          <w:szCs w:val="24"/>
          <w:rtl w:val="0"/>
        </w:rPr>
        <w:t xml:space="preserve">Actividades Militares y Paramilitares en Nicaragua y contra Nicaragua</w:t>
      </w:r>
    </w:p>
    <w:p w:rsidR="00000000" w:rsidDel="00000000" w:rsidP="00000000" w:rsidRDefault="00000000" w:rsidRPr="00000000" w14:paraId="0000000B">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ROL DEL ESTADO:</w:t>
      </w: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Tercero Interviniente</w:t>
      </w:r>
    </w:p>
    <w:p w:rsidR="00000000" w:rsidDel="00000000" w:rsidP="00000000" w:rsidRDefault="00000000" w:rsidRPr="00000000" w14:paraId="0000000D">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Delegado/a: </w:t>
      </w:r>
      <w:r w:rsidDel="00000000" w:rsidR="00000000" w:rsidRPr="00000000">
        <w:rPr>
          <w:rFonts w:ascii="Times New Roman" w:cs="Times New Roman" w:eastAsia="Times New Roman" w:hAnsi="Times New Roman"/>
          <w:sz w:val="24"/>
          <w:szCs w:val="24"/>
          <w:rtl w:val="0"/>
        </w:rPr>
        <w:t xml:space="preserve">Noelia A. Maldonado La Ruta</w:t>
      </w:r>
    </w:p>
    <w:p w:rsidR="00000000" w:rsidDel="00000000" w:rsidP="00000000" w:rsidRDefault="00000000" w:rsidRPr="00000000" w14:paraId="00000016">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Institución: </w:t>
      </w:r>
      <w:r w:rsidDel="00000000" w:rsidR="00000000" w:rsidRPr="00000000">
        <w:rPr>
          <w:rFonts w:ascii="Times New Roman" w:cs="Times New Roman" w:eastAsia="Times New Roman" w:hAnsi="Times New Roman"/>
          <w:sz w:val="24"/>
          <w:szCs w:val="24"/>
          <w:rtl w:val="0"/>
        </w:rPr>
        <w:t xml:space="preserve">Colegio “FEPPA” San Ignacio</w:t>
      </w:r>
    </w:p>
    <w:p w:rsidR="00000000" w:rsidDel="00000000" w:rsidP="00000000" w:rsidRDefault="00000000" w:rsidRPr="00000000" w14:paraId="00000017">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Ciudad:</w:t>
      </w:r>
      <w:r w:rsidDel="00000000" w:rsidR="00000000" w:rsidRPr="00000000">
        <w:rPr>
          <w:rFonts w:ascii="Times New Roman" w:cs="Times New Roman" w:eastAsia="Times New Roman" w:hAnsi="Times New Roman"/>
          <w:sz w:val="24"/>
          <w:szCs w:val="24"/>
          <w:rtl w:val="0"/>
        </w:rPr>
        <w:t xml:space="preserve"> La Paz</w:t>
      </w:r>
    </w:p>
    <w:p w:rsidR="00000000" w:rsidDel="00000000" w:rsidP="00000000" w:rsidRDefault="00000000" w:rsidRPr="00000000" w14:paraId="00000018">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Modelo de Naciones Unidas:</w:t>
      </w:r>
      <w:r w:rsidDel="00000000" w:rsidR="00000000" w:rsidRPr="00000000">
        <w:rPr>
          <w:rFonts w:ascii="Times New Roman" w:cs="Times New Roman" w:eastAsia="Times New Roman" w:hAnsi="Times New Roman"/>
          <w:sz w:val="24"/>
          <w:szCs w:val="24"/>
          <w:rtl w:val="0"/>
        </w:rPr>
        <w:t xml:space="preserve"> SIMUNPAZ</w:t>
      </w:r>
    </w:p>
    <w:p w:rsidR="00000000" w:rsidDel="00000000" w:rsidP="00000000" w:rsidRDefault="00000000" w:rsidRPr="00000000" w14:paraId="00000019">
      <w:pPr>
        <w:spacing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A">
      <w:pPr>
        <w:spacing w:line="360" w:lineRule="auto"/>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spacing w:line="360" w:lineRule="auto"/>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C">
      <w:pPr>
        <w:numPr>
          <w:ilvl w:val="0"/>
          <w:numId w:val="7"/>
        </w:numPr>
        <w:spacing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EXPOSICIÓN DE HECHOS</w:t>
      </w:r>
      <w:r w:rsidDel="00000000" w:rsidR="00000000" w:rsidRPr="00000000">
        <w:rPr>
          <w:rtl w:val="0"/>
        </w:rPr>
      </w:r>
    </w:p>
    <w:p w:rsidR="00000000" w:rsidDel="00000000" w:rsidP="00000000" w:rsidRDefault="00000000" w:rsidRPr="00000000" w14:paraId="0000001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6"/>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Contexto</w:t>
      </w:r>
    </w:p>
    <w:p w:rsidR="00000000" w:rsidDel="00000000" w:rsidP="00000000" w:rsidRDefault="00000000" w:rsidRPr="00000000" w14:paraId="0000001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controversia entre la República de Nicaragua (Estado Demandante) y los Estados Unidos de América (Estado Demandado) surge en el contexto de la Guerra Fría en América Central, período durante el cual la región centroamericana se convirtió en escenario de confrontaciones indirectas entre las superpotencias. El Salvador, como Estado vecino de Nicaragua con quien comparte vínculos históricos, culturales y geográficos estrechos, se vio directamente afectado por las operaciones militares y paramilitares que se desarrollaron en territorio nicaragüense y en aguas del Océano Pacífico y del Mar Caribe durante los años 1981–1984.</w:t>
      </w:r>
    </w:p>
    <w:p w:rsidR="00000000" w:rsidDel="00000000" w:rsidP="00000000" w:rsidRDefault="00000000" w:rsidRPr="00000000" w14:paraId="0000002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Nicaragua y El Salvador comparten la región centroamericana y están vinculados por el Sistema de la Integración Centroamericana (SICA) y sus predecesores. Las rutas marítimas afectadas por el minado de puertos nicaragüenses atraviesan zonas de interés económico y comercial para El Salvador. Asimismo, los desplazamientos de población civil y los flujos de refugiados generados por el conflicto armado impactaron directamente en el territorio y las instituciones salvadoreñas.</w:t>
      </w:r>
    </w:p>
    <w:p w:rsidR="00000000" w:rsidDel="00000000" w:rsidP="00000000" w:rsidRDefault="00000000" w:rsidRPr="00000000" w14:paraId="00000022">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numPr>
          <w:ilvl w:val="0"/>
          <w:numId w:val="6"/>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Cronología</w:t>
      </w:r>
    </w:p>
    <w:p w:rsidR="00000000" w:rsidDel="00000000" w:rsidP="00000000" w:rsidRDefault="00000000" w:rsidRPr="00000000" w14:paraId="00000024">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A partir de 1981, la administración del presidente Ronald Reagan autorizó a la Agencia Central de Inteligencia (CIA) de los Estados Unidos a financiar, armar y entrenar a grupos armados opositores al gobierno sandinista de Nicaragua, conocidos colectivamente como los 'Contras'. Estas fuerzas operaron desde Honduras y Costa Rica, realizando incursiones armadas en territorio nicaragüense.</w:t>
      </w:r>
    </w:p>
    <w:p w:rsidR="00000000" w:rsidDel="00000000" w:rsidP="00000000" w:rsidRDefault="00000000" w:rsidRPr="00000000" w14:paraId="00000025">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Entre enero y marzo de 1984, agentes de la CIA, actuando en coordinación con fuerzas paramilitares bajo dirección estadounidense, procedieron al minado encubierto de los principales puertos de Nicaragua: Corinto, Puerto Sandino y El Bluff. El minado causó daños a buques de terceros Estados y generó el cierre efectivo de rutas marítimas regionales.</w:t>
      </w:r>
    </w:p>
    <w:p w:rsidR="00000000" w:rsidDel="00000000" w:rsidP="00000000" w:rsidRDefault="00000000" w:rsidRPr="00000000" w14:paraId="00000026">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El 9 de abril de 1984, Nicaragua presentó demanda ante la Corte Internacional de Justicia contra los Estados Unidos, alegando violaciones al derecho internacional consuetudinario y a la soberanía nicaragüense. El Salvador, como Estado ribereño y con intereses en las rutas marítimas afectadas, tomó conocimiento formal del proceso.</w:t>
      </w:r>
    </w:p>
    <w:p w:rsidR="00000000" w:rsidDel="00000000" w:rsidP="00000000" w:rsidRDefault="00000000" w:rsidRPr="00000000" w14:paraId="00000027">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El 4 de octubre de 1984, la Corte se declaró competente para conocer el caso en virtud del artículo 36(2) del Estatuto. El 27 de junio de 1986, la Corte emitió su sentencia de fondo, declarando que los Estados Unidos habían violado el derecho internacional consuetudinario al apoyar a los Contras y al minar los puertos nicaragüenses.</w:t>
      </w:r>
    </w:p>
    <w:p w:rsidR="00000000" w:rsidDel="00000000" w:rsidP="00000000" w:rsidRDefault="00000000" w:rsidRPr="00000000" w14:paraId="00000028">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  </w:t>
      </w:r>
      <w:r w:rsidDel="00000000" w:rsidR="00000000" w:rsidRPr="00000000">
        <w:rPr>
          <w:rFonts w:ascii="Times New Roman" w:cs="Times New Roman" w:eastAsia="Times New Roman" w:hAnsi="Times New Roman"/>
          <w:sz w:val="24"/>
          <w:szCs w:val="24"/>
          <w:rtl w:val="0"/>
        </w:rPr>
        <w:t xml:space="preserve">Durante todo el período 1981–1986, El Salvador fue receptor de flujos de refugiados nicaragüenses y vio comprometidas sus relaciones diplomáticas regionales a causa de la desestabilización generada por el conflicto. Las operaciones navales en el Pacífico Central afectaron directamente las rutas de navegación comercial utilizadas por embarcaciones de bandera salvadoreña.</w:t>
      </w:r>
    </w:p>
    <w:p w:rsidR="00000000" w:rsidDel="00000000" w:rsidP="00000000" w:rsidRDefault="00000000" w:rsidRPr="00000000" w14:paraId="00000029">
      <w:pPr>
        <w:spacing w:after="80" w:before="8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80" w:before="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6"/>
        </w:numPr>
        <w:spacing w:after="80" w:before="8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Actos Relevantes</w:t>
      </w:r>
    </w:p>
    <w:p w:rsidR="00000000" w:rsidDel="00000000" w:rsidP="00000000" w:rsidRDefault="00000000" w:rsidRPr="00000000" w14:paraId="0000002C">
      <w:pPr>
        <w:spacing w:after="80" w:before="8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República de El Salvador, en su calidad de Tercero Interviniente, señala como especialmente relevantes los siguientes actos con incidencia directa sobre sus intereses jurídicos propios:</w:t>
      </w:r>
    </w:p>
    <w:p w:rsidR="00000000" w:rsidDel="00000000" w:rsidP="00000000" w:rsidRDefault="00000000" w:rsidRPr="00000000" w14:paraId="0000002D">
      <w:pPr>
        <w:spacing w:after="80" w:before="8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80" w:before="8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el minado de los puertos de Corinto y Puerto Sandino, ubicados en el litoral Pacífico de Nicaragua, afectó las rutas marítimas comerciales del Pacífico Central que son utilizadas regularmente por embarcaciones de bandera salvadoreña y por buques con destino a puertos salvadoreños. El cierre efectivo de dichas rutas generó perjuicios económicos a operadores marítimos y comerciales salvadoreños.</w:t>
      </w:r>
    </w:p>
    <w:p w:rsidR="00000000" w:rsidDel="00000000" w:rsidP="00000000" w:rsidRDefault="00000000" w:rsidRPr="00000000" w14:paraId="0000002F">
      <w:pPr>
        <w:spacing w:after="80" w:before="8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lugar, las operaciones de los grupos Contras en la frontera norte de Nicaragua generaron desplazamientos masivos de población civil que cruzaron hacia Honduras y en menor medida hacia El Salvador, creando presión humanitaria sobre las instituciones salvadoreñas y comprometiendo recursos del Estado.</w:t>
      </w:r>
    </w:p>
    <w:p w:rsidR="00000000" w:rsidDel="00000000" w:rsidP="00000000" w:rsidRDefault="00000000" w:rsidRPr="00000000" w14:paraId="00000030">
      <w:pPr>
        <w:spacing w:after="80" w:before="8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80" w:before="80" w:line="360" w:lineRule="auto"/>
        <w:ind w:left="720" w:firstLine="0"/>
        <w:jc w:val="both"/>
        <w:rPr>
          <w:rFonts w:ascii="Times New Roman" w:cs="Times New Roman" w:eastAsia="Times New Roman" w:hAnsi="Times New Roman"/>
          <w:b w:val="1"/>
          <w:bCs w:val="1"/>
          <w:i w:val="1"/>
          <w:iCs w:val="1"/>
          <w:color w:val="c0392b"/>
          <w:sz w:val="24"/>
          <w:szCs w:val="24"/>
        </w:rPr>
      </w:pPr>
      <w:r w:rsidDel="00000000" w:rsidR="00000000" w:rsidRPr="00000000">
        <w:rPr>
          <w:rFonts w:ascii="Times New Roman" w:cs="Times New Roman" w:eastAsia="Times New Roman" w:hAnsi="Times New Roman"/>
          <w:sz w:val="24"/>
          <w:szCs w:val="24"/>
          <w:rtl w:val="0"/>
        </w:rPr>
        <w:t xml:space="preserve">En tercer lugar, la interpretación que la Corte adopte respecto del alcance del principio de no intervención y de la prohibición del uso de la fuerza en el derecho internacional consuetudinario afectará directamente los derechos soberanos de El Salvador, Estado que ha sido históricamente vulnerable a injerencias externas en sus asuntos internos y que tiene un interés jurídico directo en que dichos principios sean interpretados y aplicados de manera robusta y coherente.</w:t>
      </w:r>
      <w:r w:rsidDel="00000000" w:rsidR="00000000" w:rsidRPr="00000000">
        <w:rPr>
          <w:rtl w:val="0"/>
        </w:rPr>
      </w:r>
    </w:p>
    <w:p w:rsidR="00000000" w:rsidDel="00000000" w:rsidP="00000000" w:rsidRDefault="00000000" w:rsidRPr="00000000" w14:paraId="0000003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7"/>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ANÁLISIS LEGAL</w:t>
      </w:r>
    </w:p>
    <w:p w:rsidR="00000000" w:rsidDel="00000000" w:rsidP="00000000" w:rsidRDefault="00000000" w:rsidRPr="00000000" w14:paraId="0000004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Sección que expone las normas de derecho internacional que regulan la materia en controversia y que sustentan la presente posición.</w:t>
      </w:r>
    </w:p>
    <w:p w:rsidR="00000000" w:rsidDel="00000000" w:rsidP="00000000" w:rsidRDefault="00000000" w:rsidRPr="00000000" w14:paraId="0000004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8"/>
        </w:numPr>
        <w:spacing w:line="360" w:lineRule="auto"/>
        <w:ind w:left="144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Instrumentos Internacionales Aplicables</w:t>
      </w:r>
    </w:p>
    <w:p w:rsidR="00000000" w:rsidDel="00000000" w:rsidP="00000000" w:rsidRDefault="00000000" w:rsidRPr="00000000" w14:paraId="00000047">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Carta de las Naciones Unidas (1945), artículos 2(4) y 2(1): El artículo 2(4) establece la prohibición del uso o amenaza de la fuerza contra la integridad territorial o la independencia política de cualquier Estado. El artículo 2(1) consagra el principio de igualdad soberana de todos los Miembros. Ambas disposiciones son directamente aplicables a las acciones de los Estados Unidos en Nicaragua y constituyen el marco normativo que protege igualmente a El Salvador como Estado soberano de la región.</w:t>
      </w:r>
    </w:p>
    <w:p w:rsidR="00000000" w:rsidDel="00000000" w:rsidP="00000000" w:rsidRDefault="00000000" w:rsidRPr="00000000" w14:paraId="00000048">
      <w:pP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Carta de la Organización de los Estados Americanos (1948), artículos 19 y 20: El artículo 19 prohíbe expresamente la intervención de un Estado en los asuntos internos o externos de otro, ya sea de forma directa o indirecta. El artículo 20 prohíbe el uso de medidas coercitivas de carácter económico o político para forzar la voluntad soberana de un Estado. Estas normas regionales refuerzan las obligaciones consuetudinarias invocadas por Nicaragua y son igualmente vinculantes para El Salvador y los Estados Unidos como Estados miembros de la OEA.</w:t>
      </w:r>
    </w:p>
    <w:p w:rsidR="00000000" w:rsidDel="00000000" w:rsidP="00000000" w:rsidRDefault="00000000" w:rsidRPr="00000000" w14:paraId="0000004A">
      <w:pP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Convención de las Naciones Unidas sobre el Derecho del Mar (CONVEMAR, 1982), artículos 17 y 58: La CONVEMAR reconoce el derecho de paso inocente y la libertad de navegación en zonas económicas exclusivas. El minado de puertos nicaragüenses sin notificación previa constituyó una violación de estas normas con efectos directos sobre la navegación de terceros Estados, incluido El Salvador.</w:t>
      </w:r>
    </w:p>
    <w:p w:rsidR="00000000" w:rsidDel="00000000" w:rsidP="00000000" w:rsidRDefault="00000000" w:rsidRPr="00000000" w14:paraId="0000004C">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Resolución 2625 (XXV) de la Asamblea General de las Naciones Unidas (1970)- Declaración sobre los Principios de Derecho Internacional referentes a las Relaciones de Amistad y a la Cooperación entre los Estados: Esta resolución codifica el principio de no intervención como norma consuetudinaria del derecho internacional y establece que ningún Estado tiene derecho a intervenir en los asuntos internos de otro, organizando, instigando, financiando o tolerando actividades armadas subversivas o terroristas contra otro Estado.</w:t>
      </w:r>
    </w:p>
    <w:p w:rsidR="00000000" w:rsidDel="00000000" w:rsidP="00000000" w:rsidRDefault="00000000" w:rsidRPr="00000000" w14:paraId="0000004D">
      <w:pPr>
        <w:spacing w:after="80" w:before="8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7"/>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ALEGATO</w:t>
      </w:r>
      <w:r w:rsidDel="00000000" w:rsidR="00000000" w:rsidRPr="00000000">
        <w:rPr>
          <w:rtl w:val="0"/>
        </w:rPr>
      </w:r>
    </w:p>
    <w:p w:rsidR="00000000" w:rsidDel="00000000" w:rsidP="00000000" w:rsidRDefault="00000000" w:rsidRPr="00000000" w14:paraId="00000064">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numPr>
          <w:ilvl w:val="0"/>
          <w:numId w:val="5"/>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Para Terceros Intervinientes </w:t>
      </w:r>
    </w:p>
    <w:p w:rsidR="00000000" w:rsidDel="00000000" w:rsidP="00000000" w:rsidRDefault="00000000" w:rsidRPr="00000000" w14:paraId="0000006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República de El Salvador no solicita a la Corte que resuelva en su favor ni en contra de ninguna de las partes. Sin embargo, expone que la decisión de la Corte en el presente caso afectaría directamente el siguiente interés jurídico propio:</w:t>
      </w:r>
    </w:p>
    <w:p w:rsidR="00000000" w:rsidDel="00000000" w:rsidP="00000000" w:rsidRDefault="00000000" w:rsidRPr="00000000" w14:paraId="0000006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Salvador posee un interés jurídico de carácter propio y concreto en el presente caso, reconocible bajo el artículo 62 del Estatuto de la CIJ, en los siguientes tres ámbitos:</w:t>
      </w:r>
    </w:p>
    <w:p w:rsidR="00000000" w:rsidDel="00000000" w:rsidP="00000000" w:rsidRDefault="00000000" w:rsidRPr="00000000" w14:paraId="0000006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Primero, en la interpretación del principio de no intervención en el derecho internacional consuetudinario. El Salvador, Estado que ha experimentado históricamente situaciones de injerencia externa en sus asuntos internos, tiene un interés jurídico directo en que la Corte confirme que el financiamiento, entrenamiento y dirección de grupos armados irregulares en territorio de otro Estado constituye una violación del principio de no intervención, independientemente de que dicho apoyo sea encubierto o indirecto. </w:t>
      </w:r>
    </w:p>
    <w:p w:rsidR="00000000" w:rsidDel="00000000" w:rsidP="00000000" w:rsidRDefault="00000000" w:rsidRPr="00000000" w14:paraId="0000006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en la libertad de navegación y el uso de rutas marítimas regionales. El minado de los puertos de Corinto y Puerto Sandino afectó rutas del Pacífico Central utilizadas por embarcaciones con vínculos comerciales con El Salvador. La sentencia de la Corte sobre la ilicitud del minado de puertos sin notificación previa establece un precedente de protección de la libertad de navegación que El Salvador tiene interés en que sea interpretado de manera amplia y aplicable a todos los Estados de la región.</w:t>
      </w:r>
    </w:p>
    <w:p w:rsidR="00000000" w:rsidDel="00000000" w:rsidP="00000000" w:rsidRDefault="00000000" w:rsidRPr="00000000" w14:paraId="0000006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Tercero, en el establecimiento de un precedente regional sobre el alcance de la soberanía estatal y la prohibición del uso de la fuerza. Como Estado miembro de la OEA y signatario de la Carta de las Naciones Unidas, El Salvador tiene interés en que la Corte reafirme que los principios de soberanía e igualdad entre los Estados son normas imperativas del derecho internacional (ius cogens) que no admiten derogación por ningún Estado, independientemente de su poder político o militar.</w:t>
      </w:r>
    </w:p>
    <w:p w:rsidR="00000000" w:rsidDel="00000000" w:rsidP="00000000" w:rsidRDefault="00000000" w:rsidRPr="00000000" w14:paraId="0000006F">
      <w:pP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after="80" w:before="80" w:line="360" w:lineRule="auto"/>
        <w:ind w:left="12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Interpretación que solicita el Estado Terciario:  </w:t>
      </w:r>
      <w:r w:rsidDel="00000000" w:rsidR="00000000" w:rsidRPr="00000000">
        <w:rPr>
          <w:rFonts w:ascii="Times New Roman" w:cs="Times New Roman" w:eastAsia="Times New Roman" w:hAnsi="Times New Roman"/>
          <w:sz w:val="24"/>
          <w:szCs w:val="24"/>
          <w:rtl w:val="0"/>
        </w:rPr>
        <w:t xml:space="preserve">La República de El Salvador solicita que la Corte interprete el principio de no intervención de manera que abarque no solo los actos directos de fuerza, sino también el apoyo indirecto, el financiamiento y la organización de fuerzas irregulares que operan contra un Estado soberano. Esta interpretación protegería el interés jurídico de El Salvador al establecer un estándar claro aplicable a toda situación análoga que pudiera afectar a cualquier Estado de la región centroamericana, sin constituir una nueva pretensión procesal contra ninguna de las partes originales.</w:t>
      </w:r>
    </w:p>
    <w:p w:rsidR="00000000" w:rsidDel="00000000" w:rsidP="00000000" w:rsidRDefault="00000000" w:rsidRPr="00000000" w14:paraId="00000071">
      <w:pP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pacing w:after="80" w:before="80" w:line="360" w:lineRule="auto"/>
        <w:ind w:left="12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Impacto de la sentencia sobre el Estado Terciario:  </w:t>
      </w:r>
      <w:r w:rsidDel="00000000" w:rsidR="00000000" w:rsidRPr="00000000">
        <w:rPr>
          <w:rFonts w:ascii="Times New Roman" w:cs="Times New Roman" w:eastAsia="Times New Roman" w:hAnsi="Times New Roman"/>
          <w:sz w:val="24"/>
          <w:szCs w:val="24"/>
          <w:rtl w:val="0"/>
        </w:rPr>
        <w:t xml:space="preserve">Si la Corte falla a favor de Nicaragua y declara que el apoyo estadounidense a los Contras y el minado de puertos violaron el derecho internacional, El Salvador se beneficiaría del establecimiento de un precedente jurídico sólido que protege a todos los Estados pequeños de la región frente a injerencias externas, refuerza la libertad de navegación en aguas regionales y consolida el principio de no intervención como norma consuetudinaria de aplicación universal. Si, por el contrario, la Corte fallara a favor de los Estados Unidos o limitara el alcance del principio de no intervención, El Salvador vería debilitada la protección jurídica que el derecho internacional le ofrece como Estado soberano, afectando su capacidad de invocar dichas normas en el futuro ante situaciones similares.</w:t>
      </w:r>
    </w:p>
    <w:p w:rsidR="00000000" w:rsidDel="00000000" w:rsidP="00000000" w:rsidRDefault="00000000" w:rsidRPr="00000000" w14:paraId="0000007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7"/>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PETITORIO</w:t>
      </w:r>
    </w:p>
    <w:p w:rsidR="00000000" w:rsidDel="00000000" w:rsidP="00000000" w:rsidRDefault="00000000" w:rsidRPr="00000000" w14:paraId="0000007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República de El Salvador solicita respetuosamente a la Corte, con base en los hechos, el derecho y los argumentos del presente Memorial, y en su calidad de Tercero Interviniente conforme al artículo 62 del Estatuto de la Corte Internacional de Justicia, que:</w:t>
      </w:r>
    </w:p>
    <w:p w:rsidR="00000000" w:rsidDel="00000000" w:rsidP="00000000" w:rsidRDefault="00000000" w:rsidRPr="00000000" w14:paraId="0000007A">
      <w:pP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Admita la presente intervención de la República de El Salvador en el procedimiento seguido en el caso relativo a las Actividades Militares y Paramilitares en Nicaragua y contra Nicaragua.</w:t>
      </w:r>
    </w:p>
    <w:p w:rsidR="00000000" w:rsidDel="00000000" w:rsidP="00000000" w:rsidRDefault="00000000" w:rsidRPr="00000000" w14:paraId="0000007C">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Al resolver la controversia entre las partes originales, tome en consideración el interés jurídico de El Salvador en la protección de la libertad de navegación en las rutas marítimas del Pacífico Central afectadas por el minado de los puertos nicaragüenses.</w:t>
      </w:r>
    </w:p>
    <w:p w:rsidR="00000000" w:rsidDel="00000000" w:rsidP="00000000" w:rsidRDefault="00000000" w:rsidRPr="00000000" w14:paraId="0000007D">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Interprete el principio de no intervención consagrado en el derecho internacional consuetudinario y en la Carta de la OEA de manera que incluya toda forma de apoyo directo o indirecto a grupos armados irregulares que operen contra un Estado soberano, interpretación cuya aplicación protegería igualmente los derechos soberanos de El Salvador.</w:t>
      </w:r>
    </w:p>
    <w:p w:rsidR="00000000" w:rsidDel="00000000" w:rsidP="00000000" w:rsidRDefault="00000000" w:rsidRPr="00000000" w14:paraId="0000007E">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Declare que la sentencia en el presente caso no afectará adversamente los derechos de navegación, los derechos soberanos ni los intereses jurídicos de la República de El Salvador derivados del derecho internacional consuetudinario y de los tratados en vigor.</w:t>
      </w:r>
    </w:p>
    <w:p w:rsidR="00000000" w:rsidDel="00000000" w:rsidP="00000000" w:rsidRDefault="00000000" w:rsidRPr="00000000" w14:paraId="0000007F">
      <w:pPr>
        <w:spacing w:after="100" w:before="8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971675" cy="19050"/>
                <wp:effectExtent b="0" l="0" r="0" t="0"/>
                <wp:docPr id="1" name=""/>
                <a:graphic>
                  <a:graphicData uri="http://schemas.microsoft.com/office/word/2010/wordprocessingShape">
                    <wps:wsp>
                      <wps:cNvCnPr/>
                      <wps:spPr>
                        <a:xfrm>
                          <a:off x="1300700" y="1137100"/>
                          <a:ext cx="1953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971675" cy="19050"/>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7167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2">
      <w:pPr>
        <w:spacing w:line="360" w:lineRule="auto"/>
        <w:ind w:left="7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República de El Salvador</w:t>
      </w:r>
    </w:p>
    <w:p w:rsidR="00000000" w:rsidDel="00000000" w:rsidP="00000000" w:rsidRDefault="00000000" w:rsidRPr="00000000" w14:paraId="00000083">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Actividades Militares y Paramilitares en Nicaragua y contra Nicaragua</w:t>
      </w:r>
    </w:p>
    <w:p w:rsidR="00000000" w:rsidDel="00000000" w:rsidP="00000000" w:rsidRDefault="00000000" w:rsidRPr="00000000" w14:paraId="00000084">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Corte Internacional de Justicia (CIJ)</w:t>
      </w:r>
      <w:r w:rsidDel="00000000" w:rsidR="00000000" w:rsidRPr="00000000">
        <w:rPr>
          <w:rtl w:val="0"/>
        </w:rPr>
      </w:r>
    </w:p>
    <w:p w:rsidR="00000000" w:rsidDel="00000000" w:rsidP="00000000" w:rsidRDefault="00000000" w:rsidRPr="00000000" w14:paraId="00000085">
      <w:pPr>
        <w:numPr>
          <w:ilvl w:val="0"/>
          <w:numId w:val="7"/>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FUENTES Y ANEXOS</w:t>
      </w:r>
    </w:p>
    <w:p w:rsidR="00000000" w:rsidDel="00000000" w:rsidP="00000000" w:rsidRDefault="00000000" w:rsidRPr="00000000" w14:paraId="00000086">
      <w:pPr>
        <w:spacing w:line="360" w:lineRule="auto"/>
        <w:ind w:left="720" w:firstLine="0"/>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87">
      <w:pPr>
        <w:numPr>
          <w:ilvl w:val="0"/>
          <w:numId w:val="4"/>
        </w:numPr>
        <w:spacing w:line="360" w:lineRule="auto"/>
        <w:ind w:left="1440" w:hanging="360"/>
        <w:jc w:val="both"/>
        <w:rPr>
          <w:rFonts w:ascii="Times New Roman" w:cs="Times New Roman" w:eastAsia="Times New Roman" w:hAnsi="Times New Roman"/>
          <w:b w:val="1"/>
          <w:bCs w:val="1"/>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Instrumentos Jurídicos</w:t>
      </w:r>
    </w:p>
    <w:p w:rsidR="00000000" w:rsidDel="00000000" w:rsidP="00000000" w:rsidRDefault="00000000" w:rsidRPr="00000000" w14:paraId="00000088">
      <w:pPr>
        <w:numPr>
          <w:ilvl w:val="0"/>
          <w:numId w:val="3"/>
        </w:numPr>
        <w:spacing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Carta de las Naciones Unidas (San Francisco, 26 de junio de 1945), artículos 2(1), 2(4) y 51.</w:t>
      </w:r>
    </w:p>
    <w:p w:rsidR="00000000" w:rsidDel="00000000" w:rsidP="00000000" w:rsidRDefault="00000000" w:rsidRPr="00000000" w14:paraId="00000089">
      <w:pPr>
        <w:numPr>
          <w:ilvl w:val="0"/>
          <w:numId w:val="3"/>
        </w:numPr>
        <w:spacing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Carta de la Organización de los Estados Americanos (Bogotá, 30 de abril de 1948, enmendada por el Protocolo de Buenos Aires, 1967), artículos 19 y 20.</w:t>
      </w:r>
    </w:p>
    <w:p w:rsidR="00000000" w:rsidDel="00000000" w:rsidP="00000000" w:rsidRDefault="00000000" w:rsidRPr="00000000" w14:paraId="0000008A">
      <w:pPr>
        <w:numPr>
          <w:ilvl w:val="0"/>
          <w:numId w:val="3"/>
        </w:numPr>
        <w:spacing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Convención de las Naciones Unidas sobre el Derecho del Mar — CONVEMAR (Montego Bay, 10 de diciembre de 1982), artículos 17, 58 y 87.</w:t>
      </w:r>
    </w:p>
    <w:p w:rsidR="00000000" w:rsidDel="00000000" w:rsidP="00000000" w:rsidRDefault="00000000" w:rsidRPr="00000000" w14:paraId="0000008B">
      <w:pPr>
        <w:numPr>
          <w:ilvl w:val="0"/>
          <w:numId w:val="3"/>
        </w:numPr>
        <w:spacing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Estatuto de la Corte Internacional de Justicia (1945), artículos 36, 38, 62 y 63.</w:t>
      </w:r>
    </w:p>
    <w:p w:rsidR="00000000" w:rsidDel="00000000" w:rsidP="00000000" w:rsidRDefault="00000000" w:rsidRPr="00000000" w14:paraId="0000008C">
      <w:pP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numPr>
          <w:ilvl w:val="0"/>
          <w:numId w:val="4"/>
        </w:numPr>
        <w:spacing w:after="0" w:afterAutospacing="0" w:before="300" w:line="360" w:lineRule="auto"/>
        <w:ind w:left="1440" w:hanging="360"/>
        <w:jc w:val="both"/>
        <w:rPr>
          <w:rFonts w:ascii="Times New Roman" w:cs="Times New Roman" w:eastAsia="Times New Roman" w:hAnsi="Times New Roman"/>
          <w:b w:val="1"/>
          <w:bCs w:val="1"/>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Jurisprudencia</w:t>
      </w:r>
    </w:p>
    <w:p w:rsidR="00000000" w:rsidDel="00000000" w:rsidP="00000000" w:rsidRDefault="00000000" w:rsidRPr="00000000" w14:paraId="0000008E">
      <w:pPr>
        <w:numPr>
          <w:ilvl w:val="0"/>
          <w:numId w:val="1"/>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CIJ, Actividades Militares y Paramilitares en Nicaragua y contra Nicaragua (Nicaragua v. Estados Unidos de América), Competencia y Admisibilidad, Sentencia, 26 de noviembre de 1984, I.C.J. Reports 1984, p. 392.</w:t>
      </w:r>
    </w:p>
    <w:p w:rsidR="00000000" w:rsidDel="00000000" w:rsidP="00000000" w:rsidRDefault="00000000" w:rsidRPr="00000000" w14:paraId="0000008F">
      <w:pPr>
        <w:numPr>
          <w:ilvl w:val="0"/>
          <w:numId w:val="1"/>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CIJ, Actividades Militares y Paramilitares en Nicaragua y contra Nicaragua (Nicaragua v. Estados Unidos de América), Fondo, Sentencia, 27 de junio de 1986, I.C.J. Reports 1986, p. 14.</w:t>
      </w:r>
    </w:p>
    <w:p w:rsidR="00000000" w:rsidDel="00000000" w:rsidP="00000000" w:rsidRDefault="00000000" w:rsidRPr="00000000" w14:paraId="00000090">
      <w:pPr>
        <w:numPr>
          <w:ilvl w:val="0"/>
          <w:numId w:val="1"/>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CIJ, Caso del Canal de Corfú (Reino Unido v. Albania), Fondo, Sentencia, 9 de abril de 1949, I.C.J. Reports 1949, p. 4. — Precedente sobre responsabilidad estatal por minado de aguas internacionales.</w:t>
      </w:r>
    </w:p>
    <w:p w:rsidR="00000000" w:rsidDel="00000000" w:rsidP="00000000" w:rsidRDefault="00000000" w:rsidRPr="00000000" w14:paraId="00000091">
      <w:pPr>
        <w:numPr>
          <w:ilvl w:val="0"/>
          <w:numId w:val="1"/>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CIJ, Caso relativo a las Plataformas Petrolíferas (República Islámica de Irán v. Estados Unidos de América), Fondo, Sentencia, 6 de noviembre de 2003, I.C.J. Reports 2003, p. 161. — Sobre el uso de la fuerza y proporcionalidad.</w:t>
      </w:r>
    </w:p>
    <w:p w:rsidR="00000000" w:rsidDel="00000000" w:rsidP="00000000" w:rsidRDefault="00000000" w:rsidRPr="00000000" w14:paraId="00000092">
      <w:pPr>
        <w:numPr>
          <w:ilvl w:val="0"/>
          <w:numId w:val="4"/>
        </w:numPr>
        <w:spacing w:after="0" w:afterAutospacing="0" w:before="0" w:beforeAutospacing="0" w:line="360" w:lineRule="auto"/>
        <w:ind w:left="1440" w:hanging="360"/>
        <w:jc w:val="both"/>
        <w:rPr>
          <w:rFonts w:ascii="Times New Roman" w:cs="Times New Roman" w:eastAsia="Times New Roman" w:hAnsi="Times New Roman"/>
          <w:b w:val="1"/>
          <w:bCs w:val="1"/>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Documentos ONU y Otras Fuentes</w:t>
      </w:r>
    </w:p>
    <w:p w:rsidR="00000000" w:rsidDel="00000000" w:rsidP="00000000" w:rsidRDefault="00000000" w:rsidRPr="00000000" w14:paraId="00000093">
      <w:pPr>
        <w:numPr>
          <w:ilvl w:val="0"/>
          <w:numId w:val="2"/>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Asamblea General de las Naciones Unidas, Resolución 2625 (XXV), Declaración sobre los Principios de Derecho Internacional referentes a las Relaciones de Amistad y a la Cooperación entre los Estados conforme a la Carta de las Naciones Unidas, 24 de octubre de 1970.</w:t>
      </w:r>
    </w:p>
    <w:p w:rsidR="00000000" w:rsidDel="00000000" w:rsidP="00000000" w:rsidRDefault="00000000" w:rsidRPr="00000000" w14:paraId="00000094">
      <w:pPr>
        <w:numPr>
          <w:ilvl w:val="0"/>
          <w:numId w:val="2"/>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Asamblea General de las Naciones Unidas, Resolución 3314 (XXIX), Definición de la Agresión, 14 de diciembre de 1974, artículo 3(g).</w:t>
      </w:r>
    </w:p>
    <w:p w:rsidR="00000000" w:rsidDel="00000000" w:rsidP="00000000" w:rsidRDefault="00000000" w:rsidRPr="00000000" w14:paraId="00000095">
      <w:pPr>
        <w:numPr>
          <w:ilvl w:val="0"/>
          <w:numId w:val="2"/>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Asamblea General de las Naciones Unidas, Resolución ES-6/2, Intervención de los Estados Unidos en Nicaragua, 2 de noviembre de 1983.</w:t>
      </w:r>
    </w:p>
    <w:p w:rsidR="00000000" w:rsidDel="00000000" w:rsidP="00000000" w:rsidRDefault="00000000" w:rsidRPr="00000000" w14:paraId="00000096">
      <w:pPr>
        <w:numPr>
          <w:ilvl w:val="0"/>
          <w:numId w:val="2"/>
        </w:numPr>
        <w:spacing w:after="0" w:afterAutospacing="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Comisión de Derecho Internacional, Artículos sobre Responsabilidad del Estado por Hechos Internacionalmente Ilícitos, adoptados en 2001, artículos 1, 4 y 8 (atribución de conductas de actores no estatales al Estado).</w:t>
      </w:r>
    </w:p>
    <w:p w:rsidR="00000000" w:rsidDel="00000000" w:rsidP="00000000" w:rsidRDefault="00000000" w:rsidRPr="00000000" w14:paraId="00000097">
      <w:pPr>
        <w:numPr>
          <w:ilvl w:val="0"/>
          <w:numId w:val="2"/>
        </w:numPr>
        <w:spacing w:after="120" w:before="0" w:beforeAutospacing="0" w:line="360" w:lineRule="auto"/>
        <w:ind w:left="216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Shabtai Rosenne, The Law and Practice of the International Court of Justice, 1920–1996 (3a ed., 1997), Martinus Nijhoff, vol. II. — Referencia sobre el procedimiento de intervención ante la CIJ.</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color w:val="c0392b"/>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081088" cy="1081088"/>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81088" cy="10810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4700854</wp:posOffset>
          </wp:positionH>
          <wp:positionV relativeFrom="paragraph">
            <wp:posOffset>19051</wp:posOffset>
          </wp:positionV>
          <wp:extent cx="1137971" cy="108585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7971" cy="1085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